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EFC" w:rsidRPr="00001E1F" w:rsidRDefault="00CD44CD" w:rsidP="00001E1F">
      <w:pPr>
        <w:jc w:val="right"/>
        <w:rPr>
          <w:b/>
        </w:rPr>
      </w:pPr>
      <w:r w:rsidRPr="00001E1F">
        <w:rPr>
          <w:b/>
        </w:rPr>
        <w:t>Comentarios y correcciones</w:t>
      </w:r>
      <w:r w:rsidR="000B23EF" w:rsidRPr="00001E1F">
        <w:rPr>
          <w:b/>
        </w:rPr>
        <w:t xml:space="preserve"> </w:t>
      </w:r>
      <w:r w:rsidR="00001E1F" w:rsidRPr="00001E1F">
        <w:rPr>
          <w:b/>
        </w:rPr>
        <w:t>30 de junio 2015</w:t>
      </w:r>
    </w:p>
    <w:tbl>
      <w:tblPr>
        <w:tblStyle w:val="Tablaconcuadrcula"/>
        <w:tblW w:w="5000" w:type="pct"/>
        <w:tblLook w:val="04A0" w:firstRow="1" w:lastRow="0" w:firstColumn="1" w:lastColumn="0" w:noHBand="0" w:noVBand="1"/>
      </w:tblPr>
      <w:tblGrid>
        <w:gridCol w:w="5210"/>
        <w:gridCol w:w="9010"/>
      </w:tblGrid>
      <w:tr w:rsidR="00CD44CD" w:rsidTr="000116FC">
        <w:tc>
          <w:tcPr>
            <w:tcW w:w="1832" w:type="pct"/>
          </w:tcPr>
          <w:p w:rsidR="00CD44CD" w:rsidRPr="00CD44CD" w:rsidRDefault="00CD44CD" w:rsidP="00CD44CD">
            <w:pPr>
              <w:jc w:val="center"/>
              <w:rPr>
                <w:b/>
              </w:rPr>
            </w:pPr>
            <w:r w:rsidRPr="00CD44CD">
              <w:rPr>
                <w:b/>
              </w:rPr>
              <w:t>Comentarios de Ciencia Ergo-Sum</w:t>
            </w:r>
          </w:p>
        </w:tc>
        <w:tc>
          <w:tcPr>
            <w:tcW w:w="3168" w:type="pct"/>
          </w:tcPr>
          <w:p w:rsidR="00CD44CD" w:rsidRPr="00CD44CD" w:rsidRDefault="000B23EF" w:rsidP="00CD44CD">
            <w:pPr>
              <w:jc w:val="center"/>
              <w:rPr>
                <w:b/>
              </w:rPr>
            </w:pPr>
            <w:r>
              <w:rPr>
                <w:b/>
              </w:rPr>
              <w:t>Correcciones</w:t>
            </w:r>
            <w:r w:rsidR="00CD44CD" w:rsidRPr="00CD44CD">
              <w:rPr>
                <w:b/>
              </w:rPr>
              <w:t xml:space="preserve"> </w:t>
            </w:r>
            <w:r w:rsidR="00CD44CD">
              <w:rPr>
                <w:b/>
              </w:rPr>
              <w:t>d</w:t>
            </w:r>
            <w:r w:rsidR="00CD44CD" w:rsidRPr="00CD44CD">
              <w:rPr>
                <w:b/>
              </w:rPr>
              <w:t>e los autores</w:t>
            </w:r>
          </w:p>
        </w:tc>
      </w:tr>
      <w:tr w:rsidR="000116FC" w:rsidTr="000116FC">
        <w:tc>
          <w:tcPr>
            <w:tcW w:w="1832" w:type="pct"/>
          </w:tcPr>
          <w:p w:rsidR="000116FC" w:rsidRDefault="000116FC" w:rsidP="000116FC">
            <w:pPr>
              <w:pStyle w:val="p7"/>
              <w:numPr>
                <w:ilvl w:val="0"/>
                <w:numId w:val="2"/>
              </w:numPr>
              <w:ind w:left="0" w:firstLine="0"/>
            </w:pPr>
            <w:r>
              <w:rPr>
                <w:rStyle w:val="ft51"/>
              </w:rPr>
              <w:t>No hay un apartado de análisis prospectivo. Cabe destacar que a partir del número 3, volumen 17, la revista adquirió un perfil prospectivo. Se propone que los resultados de la investigación se extiendan hacia el futuro planteando preguntas o propuestas sobre él o sobre las consecuencias o derivaciones del análisis específico del tema: ¿Qué se puede esperar a futuro con los resultados que se presentan y se discuten?</w:t>
            </w:r>
          </w:p>
        </w:tc>
        <w:tc>
          <w:tcPr>
            <w:tcW w:w="3168" w:type="pct"/>
          </w:tcPr>
          <w:p w:rsidR="008926C6" w:rsidRDefault="00D023F4" w:rsidP="00D023F4">
            <w:pPr>
              <w:spacing w:before="120" w:after="12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E</w:t>
            </w:r>
            <w:r w:rsidR="008926C6">
              <w:rPr>
                <w:rFonts w:ascii="Times New Roman" w:eastAsia="Times New Roman" w:hAnsi="Times New Roman" w:cs="Times New Roman"/>
                <w:color w:val="000000"/>
                <w:sz w:val="24"/>
                <w:szCs w:val="24"/>
                <w:lang w:eastAsia="pt-BR"/>
              </w:rPr>
              <w:t>n el apartado “Análisis prospectivo” se señala:</w:t>
            </w:r>
          </w:p>
          <w:p w:rsidR="00565F64" w:rsidRDefault="00565F64" w:rsidP="00565F64">
            <w:pPr>
              <w:spacing w:before="120" w:after="12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El resultado de esta investigación permite ver que, en México, todavía falta un buen camino para que la investigación y desarrollo alcance las fases de aplicación de la materia prima y productos intermedios a los productos de consumo final. Suena lógico pensar que la mayoría de los productos de la nanotecnología que se encuentran en el mercado mexicano son importados o bien producidos nacionalmente a partir de invenciones extranjeras. Esto permite cuestionar si, debido al atraso relativo de la investigación y desarrollo de las nanotecnologías que se ubica en las primeras etapas de una cadena de valor, podrá desarrollarse una industria nacional de nanotecnologías, sin un programa de política de ciencia y tecnología –que a la fecha no existe en el rubro– que oriente hacia sectores específicos. En pocas palabras, para aprovechar este creciente desarrollo de las nanotecnologías, debe plantearse una iniciativa o plan nacional, desde las instituciones federales de ciencia y tecnología, que establezca prioridades a resolver y que además se planteen metas y plazos para la resolución de tales problemáticas. Sin una estrategia gubernamental de dirección de las nanotecnologías, el panorama sugiere una </w:t>
            </w:r>
            <w:proofErr w:type="spellStart"/>
            <w:r>
              <w:rPr>
                <w:rFonts w:ascii="Times New Roman" w:eastAsia="Times New Roman" w:hAnsi="Times New Roman" w:cs="Times New Roman"/>
                <w:color w:val="000000"/>
                <w:sz w:val="24"/>
                <w:szCs w:val="24"/>
                <w:lang w:eastAsia="pt-BR"/>
              </w:rPr>
              <w:t>maquilización</w:t>
            </w:r>
            <w:proofErr w:type="spellEnd"/>
            <w:r>
              <w:rPr>
                <w:rFonts w:ascii="Times New Roman" w:eastAsia="Times New Roman" w:hAnsi="Times New Roman" w:cs="Times New Roman"/>
                <w:color w:val="000000"/>
                <w:sz w:val="24"/>
                <w:szCs w:val="24"/>
                <w:lang w:eastAsia="pt-BR"/>
              </w:rPr>
              <w:t xml:space="preserve"> de la actividad científica, que no despegaría de ser manufacturera de insumos básicos.</w:t>
            </w:r>
          </w:p>
          <w:p w:rsidR="00565F64" w:rsidRDefault="00565F64" w:rsidP="00565F64">
            <w:pPr>
              <w:spacing w:before="120" w:after="120" w:line="36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Además, el rápido crecimiento de las nanotecnologías está rebasando a los sistemas </w:t>
            </w:r>
            <w:r>
              <w:rPr>
                <w:rFonts w:ascii="Times New Roman" w:eastAsia="Times New Roman" w:hAnsi="Times New Roman" w:cs="Times New Roman"/>
                <w:color w:val="000000"/>
                <w:sz w:val="24"/>
                <w:szCs w:val="24"/>
                <w:lang w:eastAsia="pt-BR"/>
              </w:rPr>
              <w:lastRenderedPageBreak/>
              <w:t xml:space="preserve">de registro de patentes. En los Estados Unidos, por ejemplo, la solicitud de una patente en nanotecnología podía durar años en otorgarse, cuando el plazo normal es de 18 meses, con los consecuente altos costos legales </w:t>
            </w:r>
            <w:r>
              <w:rPr>
                <w:rFonts w:ascii="Times New Roman" w:eastAsia="Times New Roman" w:hAnsi="Times New Roman" w:cs="Times New Roman"/>
                <w:color w:val="000000"/>
                <w:sz w:val="24"/>
                <w:szCs w:val="24"/>
                <w:lang w:eastAsia="pt-BR"/>
              </w:rPr>
              <w:fldChar w:fldCharType="begin"/>
            </w:r>
            <w:r>
              <w:rPr>
                <w:rFonts w:ascii="Times New Roman" w:eastAsia="Times New Roman" w:hAnsi="Times New Roman" w:cs="Times New Roman"/>
                <w:color w:val="000000"/>
                <w:sz w:val="24"/>
                <w:szCs w:val="24"/>
                <w:lang w:eastAsia="pt-BR"/>
              </w:rPr>
              <w:instrText xml:space="preserve"> ADDIN ZOTERO_ITEM CSL_CITATION {"citationID":"nb57os5h2","properties":{"formattedCitation":"(Washburn, 2009)","plainCitation":"(Washburn, 2009)"},"citationItems":[{"id":417,"uris":["http://zotero.org/groups/328580/items/S7VCT9SG"],"uri":["http://zotero.org/groups/328580/items/S7VCT9SG"],"itemData":{"id":417,"type":"article-journal","title":"The long wait for innovation","container-title":"Voice of San Diego","abstract":"The Long Wait for Innovation \nBy DAVID WASHBURN\n \n\nMonday, Sept. 14, 2009 | In August of 1998, Dr. Michael J. Heller, a founder of San \nDiego-based Nanogen Inc., applied for a patent on a method he and a colleague discovered\nfor synthesizing molecular structures.","author":[{"family":"Washburn","given":"David"}],"issued":{"date-parts":[["2009",9,14]]}}}],"schema":"https://github.com/citation-style-language/schema/raw/master/csl-citation.json"} </w:instrText>
            </w:r>
            <w:r>
              <w:rPr>
                <w:rFonts w:ascii="Times New Roman" w:eastAsia="Times New Roman" w:hAnsi="Times New Roman" w:cs="Times New Roman"/>
                <w:color w:val="000000"/>
                <w:sz w:val="24"/>
                <w:szCs w:val="24"/>
                <w:lang w:eastAsia="pt-BR"/>
              </w:rPr>
              <w:fldChar w:fldCharType="separate"/>
            </w:r>
            <w:r>
              <w:rPr>
                <w:rFonts w:ascii="Times New Roman" w:eastAsia="Times New Roman" w:hAnsi="Times New Roman" w:cs="Times New Roman"/>
                <w:color w:val="000000"/>
                <w:sz w:val="24"/>
                <w:szCs w:val="24"/>
                <w:lang w:eastAsia="pt-BR"/>
              </w:rPr>
              <w:t>(</w:t>
            </w:r>
            <w:proofErr w:type="spellStart"/>
            <w:r>
              <w:rPr>
                <w:rFonts w:ascii="Times New Roman" w:eastAsia="Times New Roman" w:hAnsi="Times New Roman" w:cs="Times New Roman"/>
                <w:color w:val="000000"/>
                <w:sz w:val="24"/>
                <w:szCs w:val="24"/>
                <w:lang w:eastAsia="pt-BR"/>
              </w:rPr>
              <w:t>Washburn</w:t>
            </w:r>
            <w:proofErr w:type="spellEnd"/>
            <w:r>
              <w:rPr>
                <w:rFonts w:ascii="Times New Roman" w:eastAsia="Times New Roman" w:hAnsi="Times New Roman" w:cs="Times New Roman"/>
                <w:color w:val="000000"/>
                <w:sz w:val="24"/>
                <w:szCs w:val="24"/>
                <w:lang w:eastAsia="pt-BR"/>
              </w:rPr>
              <w:t>, 2009)</w:t>
            </w:r>
            <w:r>
              <w:rPr>
                <w:rFonts w:ascii="Times New Roman" w:eastAsia="Times New Roman" w:hAnsi="Times New Roman" w:cs="Times New Roman"/>
                <w:color w:val="000000"/>
                <w:sz w:val="24"/>
                <w:szCs w:val="24"/>
                <w:lang w:val="es-MX" w:eastAsia="pt-BR"/>
              </w:rPr>
              <w:fldChar w:fldCharType="end"/>
            </w:r>
            <w:r>
              <w:rPr>
                <w:rFonts w:ascii="Times New Roman" w:eastAsia="Times New Roman" w:hAnsi="Times New Roman" w:cs="Times New Roman"/>
                <w:color w:val="000000"/>
                <w:sz w:val="24"/>
                <w:szCs w:val="24"/>
                <w:lang w:eastAsia="pt-BR"/>
              </w:rPr>
              <w:t>. Además, debido a las características de las nanotecnologías, surge el problema de las patentes encadenadas, que generan una maraña de patentes interconectadas y con pleitos legales por superposición. También ésta es una causa de la concentración de patentes, surgiendo los paquetes de patentes relacionadas (</w:t>
            </w:r>
            <w:proofErr w:type="spellStart"/>
            <w:r>
              <w:rPr>
                <w:rFonts w:ascii="Times New Roman" w:eastAsia="Times New Roman" w:hAnsi="Times New Roman" w:cs="Times New Roman"/>
                <w:color w:val="000000"/>
                <w:sz w:val="24"/>
                <w:szCs w:val="24"/>
                <w:lang w:eastAsia="pt-BR"/>
              </w:rPr>
              <w:t>patent</w:t>
            </w:r>
            <w:proofErr w:type="spellEnd"/>
            <w:r>
              <w:rPr>
                <w:rFonts w:ascii="Times New Roman" w:eastAsia="Times New Roman" w:hAnsi="Times New Roman" w:cs="Times New Roman"/>
                <w:color w:val="000000"/>
                <w:sz w:val="24"/>
                <w:szCs w:val="24"/>
                <w:lang w:eastAsia="pt-BR"/>
              </w:rPr>
              <w:t xml:space="preserve"> pool) que sólo las grandes corporaciones pueden comprar.</w:t>
            </w:r>
          </w:p>
          <w:p w:rsidR="000116FC" w:rsidRPr="00D023F4" w:rsidRDefault="00565F64" w:rsidP="00565F64">
            <w:pPr>
              <w:spacing w:before="120" w:after="120" w:line="36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Con estos elementos de por medio la prospectiva que planteamos es que, debido al rápido crecimiento de las nanotecnologías a nivel mundial se debe, primero, encaminar los desarrollos de las nanotecnologías a la resolución de problemas específicos del país mediante una estrategia nacional de nanotecnologías; segundo, se deben establecer criterios para clasificar adecuadamente los desarrollos nanotecnológicos, lo que permitiría evitar conflictos en el registro de patentes. Lo anterior ofrece la posibilidad de despegar de la producción de materia prima a otras áreas, como la ciencia aplicada.</w:t>
            </w:r>
            <w:bookmarkStart w:id="0" w:name="_GoBack"/>
            <w:bookmarkEnd w:id="0"/>
          </w:p>
        </w:tc>
      </w:tr>
    </w:tbl>
    <w:p w:rsidR="00CD44CD" w:rsidRDefault="00CD44CD" w:rsidP="00CD44CD">
      <w:pPr>
        <w:pStyle w:val="p7"/>
        <w:ind w:firstLine="0"/>
      </w:pPr>
    </w:p>
    <w:p w:rsidR="00CD44CD" w:rsidRDefault="00CD44CD"/>
    <w:sectPr w:rsidR="00CD44CD" w:rsidSect="00CD44CD">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A7CEC"/>
    <w:multiLevelType w:val="hybridMultilevel"/>
    <w:tmpl w:val="0660FD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69C757B9"/>
    <w:multiLevelType w:val="hybridMultilevel"/>
    <w:tmpl w:val="68D664C6"/>
    <w:lvl w:ilvl="0" w:tplc="4684A7F2">
      <w:start w:val="1"/>
      <w:numFmt w:val="decimal"/>
      <w:lvlText w:val="%1."/>
      <w:lvlJc w:val="left"/>
      <w:pPr>
        <w:ind w:left="720" w:hanging="360"/>
      </w:pPr>
      <w:rPr>
        <w:rFonts w:hint="default"/>
        <w:sz w:val="2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4CD"/>
    <w:rsid w:val="00001E1F"/>
    <w:rsid w:val="000116FC"/>
    <w:rsid w:val="000B23EF"/>
    <w:rsid w:val="00565F64"/>
    <w:rsid w:val="005B0F92"/>
    <w:rsid w:val="005D55FD"/>
    <w:rsid w:val="0067472F"/>
    <w:rsid w:val="007C2F94"/>
    <w:rsid w:val="00801CD3"/>
    <w:rsid w:val="008926C6"/>
    <w:rsid w:val="00CD44CD"/>
    <w:rsid w:val="00D023F4"/>
    <w:rsid w:val="00ED55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
    <w:name w:val="p6"/>
    <w:basedOn w:val="Normal"/>
    <w:rsid w:val="00CD44CD"/>
    <w:pPr>
      <w:spacing w:before="105" w:after="0" w:line="240" w:lineRule="auto"/>
      <w:ind w:hanging="360"/>
      <w:jc w:val="both"/>
    </w:pPr>
    <w:rPr>
      <w:rFonts w:ascii="Times New Roman" w:eastAsia="Times New Roman" w:hAnsi="Times New Roman" w:cs="Times New Roman"/>
      <w:sz w:val="24"/>
      <w:szCs w:val="24"/>
      <w:lang w:eastAsia="es-ES"/>
    </w:rPr>
  </w:style>
  <w:style w:type="paragraph" w:customStyle="1" w:styleId="p7">
    <w:name w:val="p7"/>
    <w:basedOn w:val="Normal"/>
    <w:rsid w:val="00CD44CD"/>
    <w:pPr>
      <w:spacing w:after="0" w:line="240" w:lineRule="auto"/>
      <w:ind w:hanging="360"/>
      <w:jc w:val="both"/>
    </w:pPr>
    <w:rPr>
      <w:rFonts w:ascii="Times New Roman" w:eastAsia="Times New Roman" w:hAnsi="Times New Roman" w:cs="Times New Roman"/>
      <w:sz w:val="24"/>
      <w:szCs w:val="24"/>
      <w:lang w:eastAsia="es-ES"/>
    </w:rPr>
  </w:style>
  <w:style w:type="paragraph" w:customStyle="1" w:styleId="p8">
    <w:name w:val="p8"/>
    <w:basedOn w:val="Normal"/>
    <w:rsid w:val="00CD44CD"/>
    <w:pPr>
      <w:spacing w:before="30" w:after="0" w:line="240" w:lineRule="auto"/>
      <w:ind w:hanging="360"/>
      <w:jc w:val="both"/>
    </w:pPr>
    <w:rPr>
      <w:rFonts w:ascii="Times New Roman" w:eastAsia="Times New Roman" w:hAnsi="Times New Roman" w:cs="Times New Roman"/>
      <w:sz w:val="24"/>
      <w:szCs w:val="24"/>
      <w:lang w:eastAsia="es-ES"/>
    </w:rPr>
  </w:style>
  <w:style w:type="paragraph" w:customStyle="1" w:styleId="p9">
    <w:name w:val="p9"/>
    <w:basedOn w:val="Normal"/>
    <w:rsid w:val="00CD44CD"/>
    <w:pPr>
      <w:spacing w:after="0" w:line="240" w:lineRule="auto"/>
      <w:ind w:hanging="360"/>
      <w:jc w:val="both"/>
    </w:pPr>
    <w:rPr>
      <w:rFonts w:ascii="Times New Roman" w:eastAsia="Times New Roman" w:hAnsi="Times New Roman" w:cs="Times New Roman"/>
      <w:sz w:val="24"/>
      <w:szCs w:val="24"/>
      <w:lang w:eastAsia="es-ES"/>
    </w:rPr>
  </w:style>
  <w:style w:type="character" w:customStyle="1" w:styleId="ft51">
    <w:name w:val="ft51"/>
    <w:basedOn w:val="Fuentedeprrafopredeter"/>
    <w:rsid w:val="00CD44CD"/>
    <w:rPr>
      <w:rFonts w:ascii="Times New Roman" w:hAnsi="Times New Roman" w:cs="Times New Roman" w:hint="default"/>
      <w:sz w:val="23"/>
      <w:szCs w:val="23"/>
    </w:rPr>
  </w:style>
  <w:style w:type="character" w:customStyle="1" w:styleId="ft61">
    <w:name w:val="ft61"/>
    <w:basedOn w:val="Fuentedeprrafopredeter"/>
    <w:rsid w:val="00CD44CD"/>
    <w:rPr>
      <w:rFonts w:ascii="Times New Roman" w:hAnsi="Times New Roman" w:cs="Times New Roman" w:hint="default"/>
      <w:sz w:val="23"/>
      <w:szCs w:val="23"/>
    </w:rPr>
  </w:style>
  <w:style w:type="character" w:customStyle="1" w:styleId="ft71">
    <w:name w:val="ft71"/>
    <w:basedOn w:val="Fuentedeprrafopredeter"/>
    <w:rsid w:val="00CD44CD"/>
    <w:rPr>
      <w:rFonts w:ascii="Times New Roman" w:hAnsi="Times New Roman" w:cs="Times New Roman" w:hint="default"/>
      <w:sz w:val="23"/>
      <w:szCs w:val="23"/>
    </w:rPr>
  </w:style>
  <w:style w:type="character" w:customStyle="1" w:styleId="ft01">
    <w:name w:val="ft01"/>
    <w:basedOn w:val="Fuentedeprrafopredeter"/>
    <w:rsid w:val="00CD44CD"/>
    <w:rPr>
      <w:rFonts w:ascii="Times New Roman" w:hAnsi="Times New Roman" w:cs="Times New Roman" w:hint="default"/>
      <w:sz w:val="23"/>
      <w:szCs w:val="23"/>
    </w:rPr>
  </w:style>
  <w:style w:type="paragraph" w:styleId="Prrafodelista">
    <w:name w:val="List Paragraph"/>
    <w:basedOn w:val="Normal"/>
    <w:uiPriority w:val="34"/>
    <w:qFormat/>
    <w:rsid w:val="00CD44CD"/>
    <w:pPr>
      <w:ind w:left="720"/>
      <w:contextualSpacing/>
    </w:pPr>
  </w:style>
  <w:style w:type="character" w:styleId="Refdenotaalpie">
    <w:name w:val="footnote reference"/>
    <w:basedOn w:val="Fuentedeprrafopredeter"/>
    <w:uiPriority w:val="99"/>
    <w:unhideWhenUsed/>
    <w:rsid w:val="00CD44C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
    <w:name w:val="p6"/>
    <w:basedOn w:val="Normal"/>
    <w:rsid w:val="00CD44CD"/>
    <w:pPr>
      <w:spacing w:before="105" w:after="0" w:line="240" w:lineRule="auto"/>
      <w:ind w:hanging="360"/>
      <w:jc w:val="both"/>
    </w:pPr>
    <w:rPr>
      <w:rFonts w:ascii="Times New Roman" w:eastAsia="Times New Roman" w:hAnsi="Times New Roman" w:cs="Times New Roman"/>
      <w:sz w:val="24"/>
      <w:szCs w:val="24"/>
      <w:lang w:eastAsia="es-ES"/>
    </w:rPr>
  </w:style>
  <w:style w:type="paragraph" w:customStyle="1" w:styleId="p7">
    <w:name w:val="p7"/>
    <w:basedOn w:val="Normal"/>
    <w:rsid w:val="00CD44CD"/>
    <w:pPr>
      <w:spacing w:after="0" w:line="240" w:lineRule="auto"/>
      <w:ind w:hanging="360"/>
      <w:jc w:val="both"/>
    </w:pPr>
    <w:rPr>
      <w:rFonts w:ascii="Times New Roman" w:eastAsia="Times New Roman" w:hAnsi="Times New Roman" w:cs="Times New Roman"/>
      <w:sz w:val="24"/>
      <w:szCs w:val="24"/>
      <w:lang w:eastAsia="es-ES"/>
    </w:rPr>
  </w:style>
  <w:style w:type="paragraph" w:customStyle="1" w:styleId="p8">
    <w:name w:val="p8"/>
    <w:basedOn w:val="Normal"/>
    <w:rsid w:val="00CD44CD"/>
    <w:pPr>
      <w:spacing w:before="30" w:after="0" w:line="240" w:lineRule="auto"/>
      <w:ind w:hanging="360"/>
      <w:jc w:val="both"/>
    </w:pPr>
    <w:rPr>
      <w:rFonts w:ascii="Times New Roman" w:eastAsia="Times New Roman" w:hAnsi="Times New Roman" w:cs="Times New Roman"/>
      <w:sz w:val="24"/>
      <w:szCs w:val="24"/>
      <w:lang w:eastAsia="es-ES"/>
    </w:rPr>
  </w:style>
  <w:style w:type="paragraph" w:customStyle="1" w:styleId="p9">
    <w:name w:val="p9"/>
    <w:basedOn w:val="Normal"/>
    <w:rsid w:val="00CD44CD"/>
    <w:pPr>
      <w:spacing w:after="0" w:line="240" w:lineRule="auto"/>
      <w:ind w:hanging="360"/>
      <w:jc w:val="both"/>
    </w:pPr>
    <w:rPr>
      <w:rFonts w:ascii="Times New Roman" w:eastAsia="Times New Roman" w:hAnsi="Times New Roman" w:cs="Times New Roman"/>
      <w:sz w:val="24"/>
      <w:szCs w:val="24"/>
      <w:lang w:eastAsia="es-ES"/>
    </w:rPr>
  </w:style>
  <w:style w:type="character" w:customStyle="1" w:styleId="ft51">
    <w:name w:val="ft51"/>
    <w:basedOn w:val="Fuentedeprrafopredeter"/>
    <w:rsid w:val="00CD44CD"/>
    <w:rPr>
      <w:rFonts w:ascii="Times New Roman" w:hAnsi="Times New Roman" w:cs="Times New Roman" w:hint="default"/>
      <w:sz w:val="23"/>
      <w:szCs w:val="23"/>
    </w:rPr>
  </w:style>
  <w:style w:type="character" w:customStyle="1" w:styleId="ft61">
    <w:name w:val="ft61"/>
    <w:basedOn w:val="Fuentedeprrafopredeter"/>
    <w:rsid w:val="00CD44CD"/>
    <w:rPr>
      <w:rFonts w:ascii="Times New Roman" w:hAnsi="Times New Roman" w:cs="Times New Roman" w:hint="default"/>
      <w:sz w:val="23"/>
      <w:szCs w:val="23"/>
    </w:rPr>
  </w:style>
  <w:style w:type="character" w:customStyle="1" w:styleId="ft71">
    <w:name w:val="ft71"/>
    <w:basedOn w:val="Fuentedeprrafopredeter"/>
    <w:rsid w:val="00CD44CD"/>
    <w:rPr>
      <w:rFonts w:ascii="Times New Roman" w:hAnsi="Times New Roman" w:cs="Times New Roman" w:hint="default"/>
      <w:sz w:val="23"/>
      <w:szCs w:val="23"/>
    </w:rPr>
  </w:style>
  <w:style w:type="character" w:customStyle="1" w:styleId="ft01">
    <w:name w:val="ft01"/>
    <w:basedOn w:val="Fuentedeprrafopredeter"/>
    <w:rsid w:val="00CD44CD"/>
    <w:rPr>
      <w:rFonts w:ascii="Times New Roman" w:hAnsi="Times New Roman" w:cs="Times New Roman" w:hint="default"/>
      <w:sz w:val="23"/>
      <w:szCs w:val="23"/>
    </w:rPr>
  </w:style>
  <w:style w:type="paragraph" w:styleId="Prrafodelista">
    <w:name w:val="List Paragraph"/>
    <w:basedOn w:val="Normal"/>
    <w:uiPriority w:val="34"/>
    <w:qFormat/>
    <w:rsid w:val="00CD44CD"/>
    <w:pPr>
      <w:ind w:left="720"/>
      <w:contextualSpacing/>
    </w:pPr>
  </w:style>
  <w:style w:type="character" w:styleId="Refdenotaalpie">
    <w:name w:val="footnote reference"/>
    <w:basedOn w:val="Fuentedeprrafopredeter"/>
    <w:uiPriority w:val="99"/>
    <w:unhideWhenUsed/>
    <w:rsid w:val="00CD44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365667">
      <w:bodyDiv w:val="1"/>
      <w:marLeft w:val="0"/>
      <w:marRight w:val="0"/>
      <w:marTop w:val="0"/>
      <w:marBottom w:val="0"/>
      <w:divBdr>
        <w:top w:val="none" w:sz="0" w:space="0" w:color="auto"/>
        <w:left w:val="none" w:sz="0" w:space="0" w:color="auto"/>
        <w:bottom w:val="none" w:sz="0" w:space="0" w:color="auto"/>
        <w:right w:val="none" w:sz="0" w:space="0" w:color="auto"/>
      </w:divBdr>
    </w:div>
    <w:div w:id="1823741536">
      <w:bodyDiv w:val="1"/>
      <w:marLeft w:val="0"/>
      <w:marRight w:val="0"/>
      <w:marTop w:val="0"/>
      <w:marBottom w:val="0"/>
      <w:divBdr>
        <w:top w:val="none" w:sz="0" w:space="0" w:color="auto"/>
        <w:left w:val="none" w:sz="0" w:space="0" w:color="auto"/>
        <w:bottom w:val="none" w:sz="0" w:space="0" w:color="auto"/>
        <w:right w:val="none" w:sz="0" w:space="0" w:color="auto"/>
      </w:divBdr>
      <w:divsChild>
        <w:div w:id="1541359640">
          <w:marLeft w:val="0"/>
          <w:marRight w:val="0"/>
          <w:marTop w:val="21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624</Words>
  <Characters>3433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Usuario</cp:lastModifiedBy>
  <cp:revision>7</cp:revision>
  <dcterms:created xsi:type="dcterms:W3CDTF">2015-06-10T21:25:00Z</dcterms:created>
  <dcterms:modified xsi:type="dcterms:W3CDTF">2015-07-01T01:03:00Z</dcterms:modified>
</cp:coreProperties>
</file>